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00" w:type="dxa"/>
        <w:jc w:val="center"/>
        <w:tblCellSpacing w:w="7" w:type="dxa"/>
        <w:tblCellMar>
          <w:top w:w="15" w:type="dxa"/>
          <w:left w:w="15" w:type="dxa"/>
          <w:bottom w:w="15" w:type="dxa"/>
          <w:right w:w="15" w:type="dxa"/>
        </w:tblCellMar>
        <w:tblLook w:val="04A0"/>
      </w:tblPr>
      <w:tblGrid>
        <w:gridCol w:w="14764"/>
      </w:tblGrid>
      <w:tr w:rsidR="00000000">
        <w:trPr>
          <w:tblCellSpacing w:w="7" w:type="dxa"/>
          <w:jc w:val="center"/>
        </w:trPr>
        <w:tc>
          <w:tcPr>
            <w:tcW w:w="0" w:type="auto"/>
            <w:vAlign w:val="center"/>
            <w:hideMark/>
          </w:tcPr>
          <w:tbl>
            <w:tblPr>
              <w:tblW w:w="5000" w:type="pct"/>
              <w:jc w:val="center"/>
              <w:tblCellSpacing w:w="7" w:type="dxa"/>
              <w:tblCellMar>
                <w:top w:w="30" w:type="dxa"/>
                <w:left w:w="30" w:type="dxa"/>
                <w:bottom w:w="30" w:type="dxa"/>
                <w:right w:w="30" w:type="dxa"/>
              </w:tblCellMar>
              <w:tblLook w:val="04A0"/>
            </w:tblPr>
            <w:tblGrid>
              <w:gridCol w:w="14706"/>
            </w:tblGrid>
            <w:tr w:rsidR="00000000">
              <w:trPr>
                <w:tblCellSpacing w:w="7" w:type="dxa"/>
                <w:jc w:val="center"/>
              </w:trPr>
              <w:tc>
                <w:tcPr>
                  <w:tcW w:w="0" w:type="auto"/>
                  <w:hideMark/>
                </w:tcPr>
                <w:p w:rsidR="00000000" w:rsidRDefault="00B71B79">
                  <w:pPr>
                    <w:jc w:val="center"/>
                    <w:rPr>
                      <w:rFonts w:ascii="Verdana" w:eastAsia="Times New Roman" w:hAnsi="Verdana"/>
                      <w:color w:val="00008B"/>
                      <w:sz w:val="20"/>
                      <w:szCs w:val="20"/>
                    </w:rPr>
                  </w:pPr>
                  <w:r>
                    <w:rPr>
                      <w:rFonts w:ascii="Verdana" w:eastAsia="Times New Roman" w:hAnsi="Verdana"/>
                      <w:b/>
                      <w:bCs/>
                      <w:color w:val="00008B"/>
                      <w:sz w:val="20"/>
                      <w:szCs w:val="20"/>
                    </w:rPr>
                    <w:t>CONSULTA COMPONENTES PROYECTO GCP/RLA/182/SPA</w:t>
                  </w:r>
                  <w:r>
                    <w:rPr>
                      <w:rFonts w:ascii="Verdana" w:eastAsia="Times New Roman" w:hAnsi="Verdana"/>
                      <w:color w:val="00008B"/>
                      <w:sz w:val="20"/>
                      <w:szCs w:val="20"/>
                    </w:rPr>
                    <w:t xml:space="preserve"> </w:t>
                  </w:r>
                </w:p>
                <w:tbl>
                  <w:tblPr>
                    <w:tblW w:w="5000" w:type="pct"/>
                    <w:jc w:val="center"/>
                    <w:tblCellSpacing w:w="7" w:type="dxa"/>
                    <w:tblBorders>
                      <w:top w:val="outset" w:sz="6" w:space="0" w:color="CCCCCC"/>
                      <w:left w:val="outset" w:sz="6" w:space="0" w:color="CCCCCC"/>
                      <w:bottom w:val="outset" w:sz="6" w:space="0" w:color="CCCCCC"/>
                      <w:right w:val="outset" w:sz="6" w:space="0" w:color="CCCCCC"/>
                    </w:tblBorders>
                    <w:tblCellMar>
                      <w:top w:w="15" w:type="dxa"/>
                      <w:left w:w="15" w:type="dxa"/>
                      <w:bottom w:w="15" w:type="dxa"/>
                      <w:right w:w="15" w:type="dxa"/>
                    </w:tblCellMar>
                    <w:tblLook w:val="04A0"/>
                  </w:tblPr>
                  <w:tblGrid>
                    <w:gridCol w:w="3021"/>
                    <w:gridCol w:w="11581"/>
                  </w:tblGrid>
                  <w:tr w:rsidR="00000000">
                    <w:trPr>
                      <w:trHeight w:val="450"/>
                      <w:tblCellSpacing w:w="7" w:type="dxa"/>
                      <w:jc w:val="center"/>
                    </w:trPr>
                    <w:tc>
                      <w:tcPr>
                        <w:tcW w:w="0" w:type="auto"/>
                        <w:gridSpan w:val="2"/>
                        <w:tcBorders>
                          <w:top w:val="outset" w:sz="6" w:space="0" w:color="FFFFFF"/>
                          <w:left w:val="outset" w:sz="6" w:space="0" w:color="FFFFFF"/>
                          <w:bottom w:val="outset" w:sz="6" w:space="0" w:color="FFFFFF"/>
                          <w:right w:val="outset" w:sz="6" w:space="0" w:color="FFFFFF"/>
                        </w:tcBorders>
                        <w:vAlign w:val="bottom"/>
                        <w:hideMark/>
                      </w:tcPr>
                      <w:p w:rsidR="00000000" w:rsidRDefault="00B71B79">
                        <w:pPr>
                          <w:rPr>
                            <w:rFonts w:eastAsia="Times New Roman"/>
                          </w:rPr>
                        </w:pPr>
                        <w:r>
                          <w:rPr>
                            <w:rFonts w:ascii="Verdana" w:eastAsia="Times New Roman" w:hAnsi="Verdana"/>
                            <w:b/>
                            <w:bCs/>
                            <w:sz w:val="20"/>
                            <w:szCs w:val="20"/>
                          </w:rPr>
                          <w:t>I. ANTECEDENTES DEL PROYECTO</w:t>
                        </w:r>
                      </w:p>
                    </w:tc>
                  </w:tr>
                  <w:tr w:rsidR="00000000">
                    <w:trPr>
                      <w:tblCellSpacing w:w="7" w:type="dxa"/>
                      <w:jc w:val="center"/>
                    </w:trPr>
                    <w:tc>
                      <w:tcPr>
                        <w:tcW w:w="3000" w:type="dxa"/>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Símbolo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GCP/RLA/182/SPA</w:t>
                        </w:r>
                      </w:p>
                    </w:tc>
                  </w:tr>
                  <w:tr w:rsidR="00000000">
                    <w:trPr>
                      <w:tblCellSpacing w:w="7" w:type="dxa"/>
                      <w:jc w:val="center"/>
                    </w:trPr>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Nombre</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Reforzamiento de las Políticas de Semillas de Granos Básicos en apoyo a la Agricultura Campesina </w:t>
                        </w:r>
                      </w:p>
                    </w:tc>
                  </w:tr>
                  <w:tr w:rsidR="00000000">
                    <w:trPr>
                      <w:tblCellSpacing w:w="7" w:type="dxa"/>
                      <w:jc w:val="center"/>
                    </w:trPr>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Tipo de Proyecto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NACIONAL</w:t>
                        </w:r>
                      </w:p>
                    </w:tc>
                  </w:tr>
                  <w:tr w:rsidR="00000000">
                    <w:trPr>
                      <w:tblCellSpacing w:w="7" w:type="dxa"/>
                      <w:jc w:val="center"/>
                    </w:trPr>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Período de Ejecución</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Marzo/2010 - Diciembre/2013</w:t>
                        </w:r>
                      </w:p>
                    </w:tc>
                  </w:tr>
                </w:tbl>
                <w:p w:rsidR="00000000" w:rsidRDefault="00B71B79">
                  <w:pPr>
                    <w:jc w:val="center"/>
                    <w:rPr>
                      <w:rFonts w:ascii="Verdana" w:eastAsia="Times New Roman" w:hAnsi="Verdana"/>
                      <w:color w:val="00008B"/>
                      <w:sz w:val="20"/>
                      <w:szCs w:val="20"/>
                    </w:rPr>
                  </w:pPr>
                  <w:r>
                    <w:rPr>
                      <w:rFonts w:ascii="Verdana" w:eastAsia="Times New Roman" w:hAnsi="Verdana"/>
                      <w:color w:val="00008B"/>
                      <w:sz w:val="20"/>
                      <w:szCs w:val="20"/>
                    </w:rPr>
                    <w:br/>
                  </w:r>
                </w:p>
                <w:tbl>
                  <w:tblPr>
                    <w:tblW w:w="4900" w:type="pct"/>
                    <w:jc w:val="center"/>
                    <w:tblCellSpacing w:w="7" w:type="dxa"/>
                    <w:tblBorders>
                      <w:top w:val="outset" w:sz="6" w:space="0" w:color="CCCCCC"/>
                      <w:left w:val="outset" w:sz="6" w:space="0" w:color="CCCCCC"/>
                      <w:bottom w:val="outset" w:sz="6" w:space="0" w:color="CCCCCC"/>
                      <w:right w:val="outset" w:sz="6" w:space="0" w:color="CCCCCC"/>
                    </w:tblBorders>
                    <w:tblCellMar>
                      <w:top w:w="15" w:type="dxa"/>
                      <w:left w:w="15" w:type="dxa"/>
                      <w:bottom w:w="15" w:type="dxa"/>
                      <w:right w:w="15" w:type="dxa"/>
                    </w:tblCellMar>
                    <w:tblLook w:val="04A0"/>
                  </w:tblPr>
                  <w:tblGrid>
                    <w:gridCol w:w="354"/>
                    <w:gridCol w:w="1033"/>
                    <w:gridCol w:w="1263"/>
                    <w:gridCol w:w="1118"/>
                    <w:gridCol w:w="1077"/>
                    <w:gridCol w:w="621"/>
                    <w:gridCol w:w="458"/>
                    <w:gridCol w:w="251"/>
                    <w:gridCol w:w="251"/>
                    <w:gridCol w:w="251"/>
                    <w:gridCol w:w="416"/>
                    <w:gridCol w:w="416"/>
                    <w:gridCol w:w="481"/>
                    <w:gridCol w:w="416"/>
                    <w:gridCol w:w="416"/>
                    <w:gridCol w:w="416"/>
                    <w:gridCol w:w="481"/>
                    <w:gridCol w:w="416"/>
                    <w:gridCol w:w="506"/>
                    <w:gridCol w:w="416"/>
                    <w:gridCol w:w="481"/>
                    <w:gridCol w:w="416"/>
                    <w:gridCol w:w="506"/>
                    <w:gridCol w:w="970"/>
                    <w:gridCol w:w="1172"/>
                  </w:tblGrid>
                  <w:tr w:rsidR="00000000">
                    <w:trPr>
                      <w:trHeight w:val="450"/>
                      <w:tblCellSpacing w:w="7" w:type="dxa"/>
                      <w:jc w:val="center"/>
                    </w:trPr>
                    <w:tc>
                      <w:tcPr>
                        <w:tcW w:w="0" w:type="auto"/>
                        <w:gridSpan w:val="25"/>
                        <w:tcBorders>
                          <w:top w:val="outset" w:sz="6" w:space="0" w:color="FFFFFF"/>
                          <w:left w:val="outset" w:sz="6" w:space="0" w:color="FFFFFF"/>
                          <w:bottom w:val="outset" w:sz="6" w:space="0" w:color="FFFFFF"/>
                          <w:right w:val="outset" w:sz="6" w:space="0" w:color="FFFFFF"/>
                        </w:tcBorders>
                        <w:vAlign w:val="bottom"/>
                        <w:hideMark/>
                      </w:tcPr>
                      <w:p w:rsidR="00000000" w:rsidRDefault="00B71B79">
                        <w:pPr>
                          <w:rPr>
                            <w:rFonts w:eastAsia="Times New Roman"/>
                          </w:rPr>
                        </w:pPr>
                        <w:r>
                          <w:rPr>
                            <w:rFonts w:ascii="Verdana" w:eastAsia="Times New Roman" w:hAnsi="Verdana"/>
                            <w:b/>
                            <w:bCs/>
                            <w:sz w:val="20"/>
                            <w:szCs w:val="20"/>
                          </w:rPr>
                          <w:t>II. MARCO LÓGICO DEL COMPONENTE</w:t>
                        </w:r>
                      </w:p>
                    </w:tc>
                  </w:tr>
                  <w:tr w:rsidR="00000000">
                    <w:trPr>
                      <w:tblCellSpacing w:w="7" w:type="dxa"/>
                      <w:jc w:val="center"/>
                    </w:trPr>
                    <w:tc>
                      <w:tcPr>
                        <w:tcW w:w="0" w:type="auto"/>
                        <w:gridSpan w:val="25"/>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b/>
                            <w:bCs/>
                            <w:color w:val="000000"/>
                            <w:sz w:val="15"/>
                            <w:szCs w:val="15"/>
                          </w:rPr>
                          <w:t>COMPONENTE NACIONAL HONDURAS</w:t>
                        </w: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 </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Efecto</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Indicador</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Formula de Cálculo</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Tipo</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Denom.</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Línea Base</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2010</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2011</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2012</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2013</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Medios de Verificación</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Supuestos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w:t>
                        </w:r>
                        <w:r>
                          <w:rPr>
                            <w:rFonts w:ascii="Verdana" w:eastAsia="Times New Roman" w:hAnsi="Verdana"/>
                            <w:b/>
                            <w:bCs/>
                            <w:color w:val="000000"/>
                            <w:sz w:val="15"/>
                            <w:szCs w:val="15"/>
                          </w:rPr>
                          <w:t>4</w:t>
                        </w: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 </w:t>
                        </w:r>
                      </w:p>
                    </w:tc>
                    <w:tc>
                      <w:tcPr>
                        <w:tcW w:w="0" w:type="auto"/>
                        <w:vMerge w:val="restart"/>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Contribuir al fortalecimiento del sistema nacional que asegure disponibilidad y acceso sostenible a semilla de buena calidad de granos basicos a los pequeños/as productores/as para la SAN en el marco de agricultura familiar </w:t>
                        </w: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Se cuenta con programa nacional de producción de semilla, con presupuesto aprobado.</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aplica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CUMPLIMIENTO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1-Al finalizar el 2011 se cuenta con el documento elaborado del Programa Nacional de Semillas quincenal 2.</w:t>
                        </w:r>
                        <w:r>
                          <w:rPr>
                            <w:rFonts w:ascii="Verdana" w:eastAsia="Times New Roman" w:hAnsi="Verdana"/>
                            <w:color w:val="000000"/>
                            <w:sz w:val="15"/>
                            <w:szCs w:val="15"/>
                          </w:rPr>
                          <w:br/>
                          <w:t>2-Informe anual del programa nacional elaborado en plataforma informatica 3.</w:t>
                        </w:r>
                        <w:r>
                          <w:rPr>
                            <w:rFonts w:ascii="Verdana" w:eastAsia="Times New Roman" w:hAnsi="Verdana"/>
                            <w:color w:val="000000"/>
                            <w:sz w:val="15"/>
                            <w:szCs w:val="15"/>
                          </w:rPr>
                          <w:br/>
                          <w:t>3-Al finalizar el 2011 se cuenta con un presupuesto aprobado para contin</w:t>
                        </w:r>
                        <w:r>
                          <w:rPr>
                            <w:rFonts w:ascii="Verdana" w:eastAsia="Times New Roman" w:hAnsi="Verdana"/>
                            <w:color w:val="000000"/>
                            <w:sz w:val="15"/>
                            <w:szCs w:val="15"/>
                          </w:rPr>
                          <w:t xml:space="preserve">uar con el programa nacional de produccion de semilla de granos </w:t>
                        </w:r>
                        <w:r>
                          <w:rPr>
                            <w:rFonts w:ascii="Verdana" w:eastAsia="Times New Roman" w:hAnsi="Verdana"/>
                            <w:color w:val="000000"/>
                            <w:sz w:val="15"/>
                            <w:szCs w:val="15"/>
                          </w:rPr>
                          <w:lastRenderedPageBreak/>
                          <w:t>basicos de buena calidad</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1. Existencia de estabilidad política, social y económica en el país y a nivel sectorial</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Tasa de variación porcentual anual del rendimiento promedio por ha de granos básicos, por parte de los/as pequeños/as productores/as apoyados en las areas de intervencion, producidos con semillas de granos basicos de buena calidad</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Rendimiento final menos </w:t>
                        </w:r>
                        <w:r>
                          <w:rPr>
                            <w:rFonts w:ascii="Verdana" w:eastAsia="Times New Roman" w:hAnsi="Verdana"/>
                            <w:color w:val="000000"/>
                            <w:sz w:val="15"/>
                            <w:szCs w:val="15"/>
                          </w:rPr>
                          <w:t>rendimiento inicial dado opr linea base/ rendimiento inicial c 100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TASA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Estudio de Línea Base del Componente</w:t>
                        </w:r>
                        <w:r>
                          <w:rPr>
                            <w:rFonts w:ascii="Verdana" w:eastAsia="Times New Roman" w:hAnsi="Verdana"/>
                            <w:color w:val="000000"/>
                            <w:sz w:val="15"/>
                            <w:szCs w:val="15"/>
                          </w:rPr>
                          <w:br/>
                          <w:t>2. Informes elaborados por el INE</w:t>
                        </w:r>
                        <w:r>
                          <w:rPr>
                            <w:rFonts w:ascii="Verdana" w:eastAsia="Times New Roman" w:hAnsi="Verdana"/>
                            <w:color w:val="000000"/>
                            <w:sz w:val="15"/>
                            <w:szCs w:val="15"/>
                          </w:rPr>
                          <w:br/>
                          <w:t>3. Informes elaborados por DICTA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Políticas del Gobierno estimulan el uso de semillas de buena calidad de granos basicos por parte de productore/as, de la agricultura familiar</w:t>
                        </w:r>
                        <w:r>
                          <w:rPr>
                            <w:rFonts w:ascii="Verdana" w:eastAsia="Times New Roman" w:hAnsi="Verdana"/>
                            <w:color w:val="000000"/>
                            <w:sz w:val="15"/>
                            <w:szCs w:val="15"/>
                          </w:rPr>
                          <w:t>.</w:t>
                        </w: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 </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Resultado</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Indicador</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Formula de Cálculo</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Tipo</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Denom.</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Línea Base</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2010</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2011</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2012</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2013</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Medios de Verificación</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Supuestos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 </w:t>
                        </w:r>
                      </w:p>
                    </w:tc>
                    <w:tc>
                      <w:tcPr>
                        <w:tcW w:w="0" w:type="auto"/>
                        <w:vMerge w:val="restart"/>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Pequeños productores con acceso oportuno y suficiente en las épocas de siembra a semilla certificada de granos básicos, de buena calidad y apta a las diferentes zona de producción</w:t>
                        </w: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Porcentaje de pequeños/as productores/as de granos basicos en las areas de intervencion que utilizan las semillas de granos basidos de buena calidad producidas por las PES</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inicial de productores que utilizan semillas de buena calidad menos no. final d</w:t>
                        </w:r>
                        <w:r>
                          <w:rPr>
                            <w:rFonts w:ascii="Verdana" w:eastAsia="Times New Roman" w:hAnsi="Verdana"/>
                            <w:color w:val="000000"/>
                            <w:sz w:val="15"/>
                            <w:szCs w:val="15"/>
                          </w:rPr>
                          <w:t>e productores que utilizan semillas de buena calidad/ No. iinicial de productores que utilizan semilla de buena calidad x 100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PORCENTUAL</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Informes de monitoreo del proyecto</w:t>
                        </w:r>
                        <w:r>
                          <w:rPr>
                            <w:rFonts w:ascii="Verdana" w:eastAsia="Times New Roman" w:hAnsi="Verdana"/>
                            <w:color w:val="000000"/>
                            <w:sz w:val="15"/>
                            <w:szCs w:val="15"/>
                          </w:rPr>
                          <w:br/>
                        </w:r>
                        <w:r>
                          <w:rPr>
                            <w:rFonts w:ascii="Verdana" w:eastAsia="Times New Roman" w:hAnsi="Verdana"/>
                            <w:color w:val="000000"/>
                            <w:sz w:val="15"/>
                            <w:szCs w:val="15"/>
                          </w:rPr>
                          <w:t>2. Informes del departamento de certificacion de semillas SENASA</w:t>
                        </w:r>
                        <w:r>
                          <w:rPr>
                            <w:rFonts w:ascii="Verdana" w:eastAsia="Times New Roman" w:hAnsi="Verdana"/>
                            <w:color w:val="000000"/>
                            <w:sz w:val="15"/>
                            <w:szCs w:val="15"/>
                          </w:rPr>
                          <w:br/>
                          <w:t>3. Informes de DICTA y contrapartes participantes</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spacing w:after="240"/>
                          <w:rPr>
                            <w:rFonts w:ascii="Verdana" w:eastAsia="Times New Roman" w:hAnsi="Verdana"/>
                            <w:color w:val="000000"/>
                            <w:sz w:val="15"/>
                            <w:szCs w:val="15"/>
                          </w:rPr>
                        </w:pPr>
                        <w:r>
                          <w:rPr>
                            <w:rFonts w:ascii="Verdana" w:eastAsia="Times New Roman" w:hAnsi="Verdana"/>
                            <w:color w:val="000000"/>
                            <w:sz w:val="15"/>
                            <w:szCs w:val="15"/>
                          </w:rPr>
                          <w:t>1- Precios de mercado de semillas de granos basicos de buena calidad se mantiene relativamente estable.</w:t>
                        </w:r>
                        <w:r>
                          <w:rPr>
                            <w:rFonts w:ascii="Verdana" w:eastAsia="Times New Roman" w:hAnsi="Verdana"/>
                            <w:color w:val="000000"/>
                            <w:sz w:val="15"/>
                            <w:szCs w:val="15"/>
                          </w:rPr>
                          <w:br/>
                        </w:r>
                        <w:r>
                          <w:rPr>
                            <w:rFonts w:ascii="Verdana" w:eastAsia="Times New Roman" w:hAnsi="Verdana"/>
                            <w:color w:val="000000"/>
                            <w:sz w:val="15"/>
                            <w:szCs w:val="15"/>
                          </w:rPr>
                          <w:t>2-Costo de insumos agricolas para la producccion de granos basicos en las areas de intervencion, se mantiene relativamente estable.</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de la producción nacional de semilla aportado por las PES, promovidas por el Componente.</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PORCENTUAL</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12%</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Registros de producción de las PES. 2. Estadisticas nacionales de producción </w:t>
                        </w:r>
                        <w:r>
                          <w:rPr>
                            <w:rFonts w:ascii="Verdana" w:eastAsia="Times New Roman" w:hAnsi="Verdana"/>
                            <w:color w:val="000000"/>
                            <w:sz w:val="15"/>
                            <w:szCs w:val="15"/>
                          </w:rPr>
                          <w:lastRenderedPageBreak/>
                          <w:t>de semillas.</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 xml:space="preserve">1. Precios de mercado de semillas de granos básicos de buena calidad </w:t>
                        </w:r>
                        <w:r>
                          <w:rPr>
                            <w:rFonts w:ascii="Verdana" w:eastAsia="Times New Roman" w:hAnsi="Verdana"/>
                            <w:color w:val="000000"/>
                            <w:sz w:val="15"/>
                            <w:szCs w:val="15"/>
                          </w:rPr>
                          <w:t xml:space="preserve">se mantienen relativamente estables, 2. Costos de </w:t>
                        </w:r>
                        <w:r>
                          <w:rPr>
                            <w:rFonts w:ascii="Verdana" w:eastAsia="Times New Roman" w:hAnsi="Verdana"/>
                            <w:color w:val="000000"/>
                            <w:sz w:val="15"/>
                            <w:szCs w:val="15"/>
                          </w:rPr>
                          <w:lastRenderedPageBreak/>
                          <w:t>insumos agrícolas para la producción de granos básicos en las áreas de intervención, se mantienen relativamente estables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Tasa de variación porcentual anual de la producción de semilla de granos básicos de buena calidad de las PES, en las áreas de intervención del Componente, con relación al año base.</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TASA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12%</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14%</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Registros de producción de las PES, 2. Informes de monitoreo del proyecto.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Políticas del Gobierno, a través del Plan Nacional de Alimentos, estimulan el uso de semillas de buena calidad por parte de las empresas de productores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de Redes de PES y redes regionales que mejoran su capacidad instalada para la produccion y acondicionamiento de semilla de GB de buena calidad</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w:t>
                        </w:r>
                        <w:r>
                          <w:rPr>
                            <w:rFonts w:ascii="Verdana" w:eastAsia="Times New Roman" w:hAnsi="Verdana"/>
                            <w:color w:val="000000"/>
                            <w:sz w:val="15"/>
                            <w:szCs w:val="15"/>
                          </w:rPr>
                          <w:t>Informes de la regiones 2. Facturas de compra de equipo y materiales. 3. actas de entrega de los equipos a las Redes</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Los equipos entregados a las Redes son de buena calidad, de facil manejo por los productores y y una politica de capitalizcion establec</w:t>
                        </w:r>
                        <w:r>
                          <w:rPr>
                            <w:rFonts w:ascii="Verdana" w:eastAsia="Times New Roman" w:hAnsi="Verdana"/>
                            <w:color w:val="000000"/>
                            <w:sz w:val="15"/>
                            <w:szCs w:val="15"/>
                          </w:rPr>
                          <w:t>ida</w:t>
                        </w:r>
                        <w:r>
                          <w:rPr>
                            <w:rFonts w:ascii="Verdana" w:eastAsia="Times New Roman" w:hAnsi="Verdana"/>
                            <w:color w:val="000000"/>
                            <w:sz w:val="15"/>
                            <w:szCs w:val="15"/>
                          </w:rPr>
                          <w:t>.</w:t>
                        </w: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 </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Productos</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Indicador</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Formula de Cálculo</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Tipo</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Denom.</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Línea Base</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2010</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2011</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2012</w:t>
                        </w:r>
                      </w:p>
                    </w:tc>
                    <w:tc>
                      <w:tcPr>
                        <w:tcW w:w="0" w:type="auto"/>
                        <w:gridSpan w:val="4"/>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Metas 2013</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Medios de Verificación</w:t>
                        </w:r>
                      </w:p>
                    </w:tc>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Supuestos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T1</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T2</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T3</w:t>
                        </w:r>
                      </w:p>
                    </w:tc>
                    <w:tc>
                      <w:tcPr>
                        <w:tcW w:w="0" w:type="auto"/>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T4</w:t>
                        </w: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1.1.</w:t>
                        </w:r>
                      </w:p>
                    </w:tc>
                    <w:tc>
                      <w:tcPr>
                        <w:tcW w:w="0" w:type="auto"/>
                        <w:vMerge w:val="restart"/>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Pequeñas Empresas de Semillas (PES), con visibilización y participación de las mujeres, organizadas en red, articuladas al mercado, y produciendo </w:t>
                        </w:r>
                        <w:r>
                          <w:rPr>
                            <w:rFonts w:ascii="Verdana" w:eastAsia="Times New Roman" w:hAnsi="Verdana"/>
                            <w:color w:val="000000"/>
                            <w:sz w:val="15"/>
                            <w:szCs w:val="15"/>
                          </w:rPr>
                          <w:lastRenderedPageBreak/>
                          <w:t>semillas de calidad de forma estable</w:t>
                        </w: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Número de PES organizadas en redes regionales, vendiendo semilla de buena calidad de granos básicos</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12</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12</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14</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14</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16</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18</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Informes de las regionales de DICTA</w:t>
                        </w:r>
                        <w:r>
                          <w:rPr>
                            <w:rFonts w:ascii="Verdana" w:eastAsia="Times New Roman" w:hAnsi="Verdana"/>
                            <w:color w:val="000000"/>
                            <w:sz w:val="15"/>
                            <w:szCs w:val="15"/>
                          </w:rPr>
                          <w:br/>
                        </w:r>
                        <w:r>
                          <w:rPr>
                            <w:rFonts w:ascii="Verdana" w:eastAsia="Times New Roman" w:hAnsi="Verdana"/>
                            <w:color w:val="000000"/>
                            <w:sz w:val="15"/>
                            <w:szCs w:val="15"/>
                          </w:rPr>
                          <w:t xml:space="preserve">2. Registro de ventas de las PES </w:t>
                        </w:r>
                        <w:r>
                          <w:rPr>
                            <w:rFonts w:ascii="Verdana" w:eastAsia="Times New Roman" w:hAnsi="Verdana"/>
                            <w:color w:val="000000"/>
                            <w:sz w:val="15"/>
                            <w:szCs w:val="15"/>
                          </w:rPr>
                          <w:br/>
                          <w:t xml:space="preserve">3. Registros de los grupos de interes y empresas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Políticas del Gobierno estimulan el uso de semillas de granos básicos de buena calidad por parte de los pequeños/as agricultores/as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No de qq de semilla de </w:t>
                        </w:r>
                        <w:r>
                          <w:rPr>
                            <w:rFonts w:ascii="Verdana" w:eastAsia="Times New Roman" w:hAnsi="Verdana"/>
                            <w:color w:val="000000"/>
                            <w:sz w:val="15"/>
                            <w:szCs w:val="15"/>
                          </w:rPr>
                          <w:lastRenderedPageBreak/>
                          <w:t>granos básicos de buena calidad producida por las PES</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 xml:space="preserve">No total de qq </w:t>
                        </w:r>
                        <w:r>
                          <w:rPr>
                            <w:rFonts w:ascii="Verdana" w:eastAsia="Times New Roman" w:hAnsi="Verdana"/>
                            <w:color w:val="000000"/>
                            <w:sz w:val="15"/>
                            <w:szCs w:val="15"/>
                          </w:rPr>
                          <w:lastRenderedPageBreak/>
                          <w:t>producidos por mz menos total de qq destinados para granos</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lastRenderedPageBreak/>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lastRenderedPageBreak/>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500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5.000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2.500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8.000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4.000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Informes de las </w:t>
                        </w:r>
                        <w:r>
                          <w:rPr>
                            <w:rFonts w:ascii="Verdana" w:eastAsia="Times New Roman" w:hAnsi="Verdana"/>
                            <w:color w:val="000000"/>
                            <w:sz w:val="15"/>
                            <w:szCs w:val="15"/>
                          </w:rPr>
                          <w:lastRenderedPageBreak/>
                          <w:t>regionales de DICTA</w:t>
                        </w:r>
                        <w:r>
                          <w:rPr>
                            <w:rFonts w:ascii="Verdana" w:eastAsia="Times New Roman" w:hAnsi="Verdana"/>
                            <w:color w:val="000000"/>
                            <w:sz w:val="15"/>
                            <w:szCs w:val="15"/>
                          </w:rPr>
                          <w:br/>
                          <w:t>2. Registro de produccion de las PES</w:t>
                        </w:r>
                        <w:r>
                          <w:rPr>
                            <w:rFonts w:ascii="Verdana" w:eastAsia="Times New Roman" w:hAnsi="Verdana"/>
                            <w:color w:val="000000"/>
                            <w:sz w:val="15"/>
                            <w:szCs w:val="15"/>
                          </w:rPr>
                          <w:br/>
                          <w:t>3. Informes de Certisem</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 xml:space="preserve">1.- Condiciones </w:t>
                        </w:r>
                        <w:r>
                          <w:rPr>
                            <w:rFonts w:ascii="Verdana" w:eastAsia="Times New Roman" w:hAnsi="Verdana"/>
                            <w:color w:val="000000"/>
                            <w:sz w:val="15"/>
                            <w:szCs w:val="15"/>
                          </w:rPr>
                          <w:lastRenderedPageBreak/>
                          <w:t xml:space="preserve">climaticas favorables </w:t>
                        </w:r>
                        <w:r>
                          <w:rPr>
                            <w:rFonts w:ascii="Verdana" w:eastAsia="Times New Roman" w:hAnsi="Verdana"/>
                            <w:color w:val="000000"/>
                            <w:sz w:val="15"/>
                            <w:szCs w:val="15"/>
                          </w:rPr>
                          <w:br/>
                          <w:t>2. Demanda establecida</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Porcentaje de mujeres socias ocupando cargos directivos en las PES y redes empresariales, con relación al total de cargos disponibles.</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(Número de mujeres socias de las PES en cargos directivos / Número de mujeres socias de las PES) x 100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PORCENTUAL</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Informes de las regionales de DICTA</w:t>
                        </w:r>
                        <w:r>
                          <w:rPr>
                            <w:rFonts w:ascii="Verdana" w:eastAsia="Times New Roman" w:hAnsi="Verdana"/>
                            <w:color w:val="000000"/>
                            <w:sz w:val="15"/>
                            <w:szCs w:val="15"/>
                          </w:rPr>
                          <w:br/>
                          <w:t xml:space="preserve">2. Registro de Juntas directivas de las PES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Mujeres interesadas en formar parte en las Juntas Directivas de las PES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Porcentaje de mujeres socias realizando labores en comercio de semillas (promoción, mercadeo, ventas) en las PES y redes empresariales, con relación al total de asociados.</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final de mujeres socias de las PES que se dedican a la comercializacion de semil</w:t>
                        </w:r>
                        <w:r>
                          <w:rPr>
                            <w:rFonts w:ascii="Verdana" w:eastAsia="Times New Roman" w:hAnsi="Verdana"/>
                            <w:color w:val="000000"/>
                            <w:sz w:val="15"/>
                            <w:szCs w:val="15"/>
                          </w:rPr>
                          <w:t>las de GB de BC menos No inicial de mujeres socias de las PES que se dedican a la comercializacion de semillas de GB de BC x 100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PORCENTUAL</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15%</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Informes de las regionales de DICTA, 2. Registro de socios mujeres de las PES que comercializan semilla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Mujeres interesadas en participar como socias de las PES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No de qq de semilla de granos básicos de buena calidad </w:t>
                        </w:r>
                        <w:r>
                          <w:rPr>
                            <w:rFonts w:ascii="Verdana" w:eastAsia="Times New Roman" w:hAnsi="Verdana"/>
                            <w:color w:val="000000"/>
                            <w:sz w:val="15"/>
                            <w:szCs w:val="15"/>
                          </w:rPr>
                          <w:t>comercializada por las PES</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de qq de semilla de granos básicos de buena calidad producida menos No de qq de semilla de granos básicos de buena calidad comercializada /No de qq de semilla de granos básicos de buena calidad producida X 100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1.600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640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400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4.000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6.400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3.200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Informes de las regionales de DICTA</w:t>
                        </w:r>
                        <w:r>
                          <w:rPr>
                            <w:rFonts w:ascii="Verdana" w:eastAsia="Times New Roman" w:hAnsi="Verdana"/>
                            <w:color w:val="000000"/>
                            <w:sz w:val="15"/>
                            <w:szCs w:val="15"/>
                          </w:rPr>
                          <w:br/>
                          <w:t xml:space="preserve">2. Registro de ventas de las PES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Demanda de semilla de GB de buena calidad</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Número de PES y redes empresariales que han completado proceso de formación empresarial diseñado por el Componente.</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2. Memorias de encuentros de Auto-evaluación de resultados de las PES; 2. Análisis de evaluación anual del Componente.</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Existen organismos locales dispuestos a aliarse con el Componente, articularse con las estructuras empresariales y con capacidad para fo</w:t>
                        </w:r>
                        <w:r>
                          <w:rPr>
                            <w:rFonts w:ascii="Verdana" w:eastAsia="Times New Roman" w:hAnsi="Verdana"/>
                            <w:color w:val="000000"/>
                            <w:sz w:val="15"/>
                            <w:szCs w:val="15"/>
                          </w:rPr>
                          <w:t>rmar las estructuras empresariales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Número de PES y redes empresariales que han completado proceso de consolidación empresarial diseñado por el Componente.</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2. Memorias de encuentros de Auto-evaluación de resultados de las PES; 2. Análisis de evaluación anual del Componente.</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Existen organismos locales dispuestos a aliarse con el Componente, articularse con las empresas y con capacidad para consolidar las </w:t>
                        </w:r>
                        <w:r>
                          <w:rPr>
                            <w:rFonts w:ascii="Verdana" w:eastAsia="Times New Roman" w:hAnsi="Verdana"/>
                            <w:color w:val="000000"/>
                            <w:sz w:val="15"/>
                            <w:szCs w:val="15"/>
                          </w:rPr>
                          <w:t>estructuras empresariales</w:t>
                        </w: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1.2.</w:t>
                        </w:r>
                      </w:p>
                    </w:tc>
                    <w:tc>
                      <w:tcPr>
                        <w:tcW w:w="0" w:type="auto"/>
                        <w:vMerge w:val="restart"/>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Semilla básica y registrada, distribuida en base a la demanda de las PES</w:t>
                        </w: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de qq de semillas registradas de GB producidas por DICTA</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de qq de semillas registradas de GB producidas por DICTA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720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1.400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Informes de las regionales de DICTA, </w:t>
                        </w:r>
                        <w:r>
                          <w:rPr>
                            <w:rFonts w:ascii="Verdana" w:eastAsia="Times New Roman" w:hAnsi="Verdana"/>
                            <w:color w:val="000000"/>
                            <w:sz w:val="15"/>
                            <w:szCs w:val="15"/>
                          </w:rPr>
                          <w:br/>
                          <w:t xml:space="preserve">2. Registro de ventas de las PES </w:t>
                        </w:r>
                        <w:r>
                          <w:rPr>
                            <w:rFonts w:ascii="Verdana" w:eastAsia="Times New Roman" w:hAnsi="Verdana"/>
                            <w:color w:val="000000"/>
                            <w:sz w:val="15"/>
                            <w:szCs w:val="15"/>
                          </w:rPr>
                          <w:br/>
                        </w:r>
                        <w:r>
                          <w:rPr>
                            <w:rFonts w:ascii="Verdana" w:eastAsia="Times New Roman" w:hAnsi="Verdana"/>
                            <w:color w:val="000000"/>
                            <w:sz w:val="15"/>
                            <w:szCs w:val="15"/>
                          </w:rPr>
                          <w:t xml:space="preserve">3. Registros de los grupos de interes y empresas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Políticas del Gobierno estimulan el uso de semillas de granos básicos de buena calidad por parte de los pequeños/as agricultores/as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Porcentaje </w:t>
                        </w:r>
                        <w:r>
                          <w:rPr>
                            <w:rFonts w:ascii="Verdana" w:eastAsia="Times New Roman" w:hAnsi="Verdana"/>
                            <w:color w:val="000000"/>
                            <w:sz w:val="15"/>
                            <w:szCs w:val="15"/>
                          </w:rPr>
                          <w:t>de semilla registrada vendida por DICTA a las PES</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(N° de qq de semilla registrada de granos basicos vendida por DICTA a las PES / N° de qq de semilla registrada de granos basicos producida por DICTA) x 100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PORCENTUAL</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Informes del Programa de Semilla de </w:t>
                        </w:r>
                        <w:proofErr w:type="gramStart"/>
                        <w:r>
                          <w:rPr>
                            <w:rFonts w:ascii="Verdana" w:eastAsia="Times New Roman" w:hAnsi="Verdana"/>
                            <w:color w:val="000000"/>
                            <w:sz w:val="15"/>
                            <w:szCs w:val="15"/>
                          </w:rPr>
                          <w:t>DICTA .</w:t>
                        </w:r>
                        <w:proofErr w:type="gramEnd"/>
                        <w:r>
                          <w:rPr>
                            <w:rFonts w:ascii="Verdana" w:eastAsia="Times New Roman" w:hAnsi="Verdana"/>
                            <w:color w:val="000000"/>
                            <w:sz w:val="15"/>
                            <w:szCs w:val="15"/>
                          </w:rPr>
                          <w:t xml:space="preserve"> </w:t>
                        </w:r>
                        <w:r>
                          <w:rPr>
                            <w:rFonts w:ascii="Verdana" w:eastAsia="Times New Roman" w:hAnsi="Verdana"/>
                            <w:color w:val="000000"/>
                            <w:sz w:val="15"/>
                            <w:szCs w:val="15"/>
                          </w:rPr>
                          <w:br/>
                          <w:t>2. informes de Certificacion de SENASA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Todas las PES utilizan semilla categoria registrada para la produccion de semilla de GB certificada de buena calidad</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de qq de semilla básica de GB producida por DICTA</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de qq de semilla básica de GB producida por DICTA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Informes del Programa de Semilla </w:t>
                        </w:r>
                        <w:r>
                          <w:rPr>
                            <w:rFonts w:ascii="Verdana" w:eastAsia="Times New Roman" w:hAnsi="Verdana"/>
                            <w:color w:val="000000"/>
                            <w:sz w:val="15"/>
                            <w:szCs w:val="15"/>
                          </w:rPr>
                          <w:t xml:space="preserve">de </w:t>
                        </w:r>
                        <w:proofErr w:type="gramStart"/>
                        <w:r>
                          <w:rPr>
                            <w:rFonts w:ascii="Verdana" w:eastAsia="Times New Roman" w:hAnsi="Verdana"/>
                            <w:color w:val="000000"/>
                            <w:sz w:val="15"/>
                            <w:szCs w:val="15"/>
                          </w:rPr>
                          <w:t>DICTA .</w:t>
                        </w:r>
                        <w:proofErr w:type="gramEnd"/>
                        <w:r>
                          <w:rPr>
                            <w:rFonts w:ascii="Verdana" w:eastAsia="Times New Roman" w:hAnsi="Verdana"/>
                            <w:color w:val="000000"/>
                            <w:sz w:val="15"/>
                            <w:szCs w:val="15"/>
                          </w:rPr>
                          <w:t xml:space="preserve"> </w:t>
                        </w:r>
                        <w:r>
                          <w:rPr>
                            <w:rFonts w:ascii="Verdana" w:eastAsia="Times New Roman" w:hAnsi="Verdana"/>
                            <w:color w:val="000000"/>
                            <w:sz w:val="15"/>
                            <w:szCs w:val="15"/>
                          </w:rPr>
                          <w:br/>
                          <w:t>2. informes de Certificacion de SENASA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Clima favorable </w:t>
                        </w:r>
                        <w:r>
                          <w:rPr>
                            <w:rFonts w:ascii="Verdana" w:eastAsia="Times New Roman" w:hAnsi="Verdana"/>
                            <w:color w:val="000000"/>
                            <w:sz w:val="15"/>
                            <w:szCs w:val="15"/>
                          </w:rPr>
                          <w:br/>
                          <w:t xml:space="preserve">2. Politica de produccion de semilla de GB sostenible </w:t>
                        </w:r>
                        <w:r>
                          <w:rPr>
                            <w:rFonts w:ascii="Verdana" w:eastAsia="Times New Roman" w:hAnsi="Verdana"/>
                            <w:color w:val="000000"/>
                            <w:sz w:val="15"/>
                            <w:szCs w:val="15"/>
                          </w:rPr>
                          <w:br/>
                          <w:t>3. Infraestructura de EE establecida</w:t>
                        </w: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1.3.</w:t>
                        </w:r>
                      </w:p>
                    </w:tc>
                    <w:tc>
                      <w:tcPr>
                        <w:tcW w:w="0" w:type="auto"/>
                        <w:vMerge w:val="restart"/>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Programa de innovación y transferencia tecnológica participativa para la producción de semillas, implementado en el campo y articulado al programa de investigación de granos básicos de DICTA</w:t>
                        </w: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No de variedades </w:t>
                        </w:r>
                        <w:r>
                          <w:rPr>
                            <w:rFonts w:ascii="Verdana" w:eastAsia="Times New Roman" w:hAnsi="Verdana"/>
                            <w:color w:val="000000"/>
                            <w:sz w:val="15"/>
                            <w:szCs w:val="15"/>
                          </w:rPr>
                          <w:t xml:space="preserve">de granos basicos lliberadas por DICTA validadas </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No de materiales de GB lliberados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Informes del Programa de Semilla de </w:t>
                        </w:r>
                        <w:proofErr w:type="gramStart"/>
                        <w:r>
                          <w:rPr>
                            <w:rFonts w:ascii="Verdana" w:eastAsia="Times New Roman" w:hAnsi="Verdana"/>
                            <w:color w:val="000000"/>
                            <w:sz w:val="15"/>
                            <w:szCs w:val="15"/>
                          </w:rPr>
                          <w:t>DICTA .</w:t>
                        </w:r>
                        <w:proofErr w:type="gramEnd"/>
                        <w:r>
                          <w:rPr>
                            <w:rFonts w:ascii="Verdana" w:eastAsia="Times New Roman" w:hAnsi="Verdana"/>
                            <w:color w:val="000000"/>
                            <w:sz w:val="15"/>
                            <w:szCs w:val="15"/>
                          </w:rPr>
                          <w:t xml:space="preserve"> </w:t>
                        </w:r>
                        <w:r>
                          <w:rPr>
                            <w:rFonts w:ascii="Verdana" w:eastAsia="Times New Roman" w:hAnsi="Verdana"/>
                            <w:color w:val="000000"/>
                            <w:sz w:val="15"/>
                            <w:szCs w:val="15"/>
                          </w:rPr>
                          <w:br/>
                          <w:t>2 Informe de CERTISEM</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Comité de Liberación de semilla aprueba los resultados de la investigacion</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Numero de variedades criollas de granos basicos mejoradas adaptadas a las concidiciones climaticas locales </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de material criollo mejorado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Informes del programa de semillas de DICTA</w:t>
                        </w:r>
                        <w:r>
                          <w:rPr>
                            <w:rFonts w:ascii="Verdana" w:eastAsia="Times New Roman" w:hAnsi="Verdana"/>
                            <w:color w:val="000000"/>
                            <w:sz w:val="15"/>
                            <w:szCs w:val="15"/>
                          </w:rPr>
                          <w:br/>
                          <w:t>2. Informes de SERTISEM</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Comote de liberacion de semillas aprueba los resultados de la investigacion</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No </w:t>
                        </w:r>
                        <w:r>
                          <w:rPr>
                            <w:rFonts w:ascii="Verdana" w:eastAsia="Times New Roman" w:hAnsi="Verdana"/>
                            <w:color w:val="000000"/>
                            <w:sz w:val="15"/>
                            <w:szCs w:val="15"/>
                          </w:rPr>
                          <w:t>mínimo de variedades liberadas, sobre cultivo predominantes en cada región, que han sido validadas.</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4</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6</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Informes del Programa de Semilla de </w:t>
                        </w:r>
                        <w:proofErr w:type="gramStart"/>
                        <w:r>
                          <w:rPr>
                            <w:rFonts w:ascii="Verdana" w:eastAsia="Times New Roman" w:hAnsi="Verdana"/>
                            <w:color w:val="000000"/>
                            <w:sz w:val="15"/>
                            <w:szCs w:val="15"/>
                          </w:rPr>
                          <w:t>DICTA .</w:t>
                        </w:r>
                        <w:proofErr w:type="gramEnd"/>
                        <w:r>
                          <w:rPr>
                            <w:rFonts w:ascii="Verdana" w:eastAsia="Times New Roman" w:hAnsi="Verdana"/>
                            <w:color w:val="000000"/>
                            <w:sz w:val="15"/>
                            <w:szCs w:val="15"/>
                          </w:rPr>
                          <w:t xml:space="preserve"> 2 Informe del Proyecto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Clima favorable 2. Politica de produccion de semilla de GB sostenible </w:t>
                        </w: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1.4.</w:t>
                        </w:r>
                      </w:p>
                    </w:tc>
                    <w:tc>
                      <w:tcPr>
                        <w:tcW w:w="0" w:type="auto"/>
                        <w:vMerge w:val="restart"/>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Instituciones nacionales y políticas de estado para producción y uso de </w:t>
                        </w:r>
                        <w:r>
                          <w:rPr>
                            <w:rFonts w:ascii="Verdana" w:eastAsia="Times New Roman" w:hAnsi="Verdana"/>
                            <w:color w:val="000000"/>
                            <w:sz w:val="15"/>
                            <w:szCs w:val="15"/>
                          </w:rPr>
                          <w:lastRenderedPageBreak/>
                          <w:t>semillas certificadas de granos básicos, fortalecidas</w:t>
                        </w: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Numero de manzanas ubicadas en las EE con infraestructura de riego establecida </w:t>
                        </w:r>
                        <w:r>
                          <w:rPr>
                            <w:rFonts w:ascii="Verdana" w:eastAsia="Times New Roman" w:hAnsi="Verdana"/>
                            <w:color w:val="000000"/>
                            <w:sz w:val="15"/>
                            <w:szCs w:val="15"/>
                          </w:rPr>
                          <w:lastRenderedPageBreak/>
                          <w:t>para la produccion de semilla de GB de BC</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 xml:space="preserve">No. de manzanas </w:t>
                        </w:r>
                        <w:r>
                          <w:rPr>
                            <w:rFonts w:ascii="Verdana" w:eastAsia="Times New Roman" w:hAnsi="Verdana"/>
                            <w:color w:val="000000"/>
                            <w:sz w:val="15"/>
                            <w:szCs w:val="15"/>
                          </w:rPr>
                          <w:t xml:space="preserve">ubicadas en las EE con infraestructura de riego establecida </w:t>
                        </w:r>
                        <w:r>
                          <w:rPr>
                            <w:rFonts w:ascii="Verdana" w:eastAsia="Times New Roman" w:hAnsi="Verdana"/>
                            <w:color w:val="000000"/>
                            <w:sz w:val="15"/>
                            <w:szCs w:val="15"/>
                          </w:rPr>
                          <w:lastRenderedPageBreak/>
                          <w:t>para la produccion de semilla de GB de BC</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20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54</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Informes de la unidad de Desarrollo de EE de DICTA y del </w:t>
                        </w:r>
                        <w:r>
                          <w:rPr>
                            <w:rFonts w:ascii="Verdana" w:eastAsia="Times New Roman" w:hAnsi="Verdana"/>
                            <w:color w:val="000000"/>
                            <w:sz w:val="15"/>
                            <w:szCs w:val="15"/>
                          </w:rPr>
                          <w:lastRenderedPageBreak/>
                          <w:t xml:space="preserve">Programa de Semilla de </w:t>
                        </w:r>
                        <w:proofErr w:type="gramStart"/>
                        <w:r>
                          <w:rPr>
                            <w:rFonts w:ascii="Verdana" w:eastAsia="Times New Roman" w:hAnsi="Verdana"/>
                            <w:color w:val="000000"/>
                            <w:sz w:val="15"/>
                            <w:szCs w:val="15"/>
                          </w:rPr>
                          <w:t>DICTA .</w:t>
                        </w:r>
                        <w:proofErr w:type="gramEnd"/>
                        <w:r>
                          <w:rPr>
                            <w:rFonts w:ascii="Verdana" w:eastAsia="Times New Roman" w:hAnsi="Verdana"/>
                            <w:color w:val="000000"/>
                            <w:sz w:val="15"/>
                            <w:szCs w:val="15"/>
                          </w:rPr>
                          <w:br/>
                          <w:t>2 Facturas de compra de equipo y materiales</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 xml:space="preserve">1. Clima favorable </w:t>
                        </w:r>
                        <w:r>
                          <w:rPr>
                            <w:rFonts w:ascii="Verdana" w:eastAsia="Times New Roman" w:hAnsi="Verdana"/>
                            <w:color w:val="000000"/>
                            <w:sz w:val="15"/>
                            <w:szCs w:val="15"/>
                          </w:rPr>
                          <w:br/>
                          <w:t xml:space="preserve">2. Politica de produccion de semilla de GB sostenible </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Número qq/día de 24 horas, que DICTA aumenta su capacidad instalada para secar semilla.</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355</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355</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Informes del Programa de Semilla </w:t>
                        </w:r>
                        <w:r>
                          <w:rPr>
                            <w:rFonts w:ascii="Verdana" w:eastAsia="Times New Roman" w:hAnsi="Verdana"/>
                            <w:color w:val="000000"/>
                            <w:sz w:val="15"/>
                            <w:szCs w:val="15"/>
                          </w:rPr>
                          <w:t xml:space="preserve">de DICTA 2. Facturas de compra de equipo y materiales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Clima favorable 2. Politica de produccion de semilla de GB sostenible. </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de laboratorios de SENASA mejoran su capacidad instalada para la certificación de semilla de GB</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No de laboratorios de SENASA mejoran su capacidad instalada para la certificación de semilla de GB</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Informes del CERTISEM</w:t>
                        </w:r>
                        <w:r>
                          <w:rPr>
                            <w:rFonts w:ascii="Verdana" w:eastAsia="Times New Roman" w:hAnsi="Verdana"/>
                            <w:color w:val="000000"/>
                            <w:sz w:val="15"/>
                            <w:szCs w:val="15"/>
                          </w:rPr>
                          <w:br/>
                          <w:t>2. Facturas de compra de equipo y materiales</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Certisem cuida y hace buen uso de los aportes del proyecto </w:t>
                        </w:r>
                        <w:r>
                          <w:rPr>
                            <w:rFonts w:ascii="Verdana" w:eastAsia="Times New Roman" w:hAnsi="Verdana"/>
                            <w:color w:val="000000"/>
                            <w:sz w:val="15"/>
                            <w:szCs w:val="15"/>
                          </w:rPr>
                          <w:br/>
                          <w:t>2. politica institucional para el mantenimiento de los laboratorios</w:t>
                        </w: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1.5.</w:t>
                        </w:r>
                      </w:p>
                    </w:tc>
                    <w:tc>
                      <w:tcPr>
                        <w:tcW w:w="0" w:type="auto"/>
                        <w:vMerge w:val="restart"/>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Sistema nacional de semillas en Honduras, fortalecido.</w:t>
                        </w: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Número de instrumentos juridicos nacionales y regional que se han elaborado o actualizado y socializado con apoyo del Componente.</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Documentos finales elaborados o actualizados.</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El Gobierno Nacional e instancia regional, estarán siempre dispuesto a aprobar o poner en vigencia los instrumentos elaborados o actualizados.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Número de instrumentos de política pública que se han elaborado y socializado con apoyo del componente</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Documentos finales elaborados.</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Las autoridades correspondientes del Gobierno estarán dispuestas a poner en vigencia las políticas que se propongan.</w:t>
                        </w:r>
                      </w:p>
                    </w:tc>
                  </w:tr>
                  <w:tr w:rsidR="00000000">
                    <w:trPr>
                      <w:tblCellSpacing w:w="7" w:type="dxa"/>
                      <w:jc w:val="center"/>
                    </w:trPr>
                    <w:tc>
                      <w:tcPr>
                        <w:tcW w:w="0" w:type="auto"/>
                        <w:vMerge w:val="restart"/>
                        <w:tcBorders>
                          <w:top w:val="outset" w:sz="6" w:space="0" w:color="CCCCCC"/>
                          <w:left w:val="outset" w:sz="6" w:space="0" w:color="CCCCCC"/>
                          <w:bottom w:val="outset" w:sz="6" w:space="0" w:color="000000"/>
                          <w:right w:val="outset" w:sz="6" w:space="0" w:color="000000"/>
                        </w:tcBorders>
                        <w:shd w:val="clear" w:color="auto" w:fill="CCCCCC"/>
                        <w:vAlign w:val="center"/>
                        <w:hideMark/>
                      </w:tcPr>
                      <w:p w:rsidR="00000000" w:rsidRDefault="00B71B79">
                        <w:pPr>
                          <w:jc w:val="center"/>
                          <w:rPr>
                            <w:rFonts w:ascii="Verdana" w:eastAsia="Times New Roman" w:hAnsi="Verdana"/>
                            <w:b/>
                            <w:bCs/>
                            <w:color w:val="000000"/>
                            <w:sz w:val="15"/>
                            <w:szCs w:val="15"/>
                          </w:rPr>
                        </w:pPr>
                        <w:r>
                          <w:rPr>
                            <w:rFonts w:ascii="Verdana" w:eastAsia="Times New Roman" w:hAnsi="Verdana"/>
                            <w:b/>
                            <w:bCs/>
                            <w:color w:val="000000"/>
                            <w:sz w:val="15"/>
                            <w:szCs w:val="15"/>
                          </w:rPr>
                          <w:t>1.6.</w:t>
                        </w:r>
                      </w:p>
                    </w:tc>
                    <w:tc>
                      <w:tcPr>
                        <w:tcW w:w="0" w:type="auto"/>
                        <w:vMerge w:val="restart"/>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Componente Honduras del Proyecto Gestionado, Monitoreado </w:t>
                        </w:r>
                        <w:r>
                          <w:rPr>
                            <w:rFonts w:ascii="Verdana" w:eastAsia="Times New Roman" w:hAnsi="Verdana"/>
                            <w:color w:val="000000"/>
                            <w:sz w:val="15"/>
                            <w:szCs w:val="15"/>
                          </w:rPr>
                          <w:lastRenderedPageBreak/>
                          <w:t>y Evaluado</w:t>
                        </w: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c>
                      <w:tcPr>
                        <w:tcW w:w="0" w:type="auto"/>
                        <w:vAlign w:val="center"/>
                        <w:hideMark/>
                      </w:tcPr>
                      <w:p w:rsidR="00000000" w:rsidRDefault="00B71B79">
                        <w:pPr>
                          <w:rPr>
                            <w:rFonts w:eastAsia="Times New Roman"/>
                            <w:sz w:val="20"/>
                            <w:szCs w:val="20"/>
                          </w:rPr>
                        </w:pP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Porcentaje de ejecucion presupuestaria trimestral acumulada </w:t>
                        </w:r>
                        <w:r>
                          <w:rPr>
                            <w:rFonts w:ascii="Verdana" w:eastAsia="Times New Roman" w:hAnsi="Verdana"/>
                            <w:color w:val="000000"/>
                            <w:sz w:val="15"/>
                            <w:szCs w:val="15"/>
                          </w:rPr>
                          <w:lastRenderedPageBreak/>
                          <w:t>respecto del presupuesto anual del Componente</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 xml:space="preserve">(Gasto acumulado trimestralmente por el Componente </w:t>
                        </w:r>
                        <w:r>
                          <w:rPr>
                            <w:rFonts w:ascii="Verdana" w:eastAsia="Times New Roman" w:hAnsi="Verdana"/>
                            <w:color w:val="000000"/>
                            <w:sz w:val="15"/>
                            <w:szCs w:val="15"/>
                          </w:rPr>
                          <w:lastRenderedPageBreak/>
                          <w:t>/ Presupuesto anual del Componente) x 100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lastRenderedPageBreak/>
                          <w:t>PORCENTUAL</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60%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95%</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35%</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70%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85%</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70%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Reportes FPMIS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Los mecanismos y procedimientos administrativo</w:t>
                        </w:r>
                        <w:r>
                          <w:rPr>
                            <w:rFonts w:ascii="Verdana" w:eastAsia="Times New Roman" w:hAnsi="Verdana"/>
                            <w:color w:val="000000"/>
                            <w:sz w:val="15"/>
                            <w:szCs w:val="15"/>
                          </w:rPr>
                          <w:lastRenderedPageBreak/>
                          <w:t xml:space="preserve">s son expeditos. </w:t>
                        </w:r>
                        <w:r>
                          <w:rPr>
                            <w:rFonts w:ascii="Verdana" w:eastAsia="Times New Roman" w:hAnsi="Verdana"/>
                            <w:color w:val="000000"/>
                            <w:sz w:val="15"/>
                            <w:szCs w:val="15"/>
                          </w:rPr>
                          <w:br/>
                          <w:t>2. Disponibilidad oportuna de los recursos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Número de Informes de MyE aprobados por el Oficial Técnico y ATP del Proyecto</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NUMERICO</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N/A</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7</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14</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7</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14</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3</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7</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14</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Reportes FPMIS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 xml:space="preserve">1. Los mecanismos y procedimientos administrativos son expeditos. </w:t>
                        </w:r>
                        <w:r>
                          <w:rPr>
                            <w:rFonts w:ascii="Verdana" w:eastAsia="Times New Roman" w:hAnsi="Verdana"/>
                            <w:color w:val="000000"/>
                            <w:sz w:val="15"/>
                            <w:szCs w:val="15"/>
                          </w:rPr>
                          <w:br/>
                        </w:r>
                        <w:r>
                          <w:rPr>
                            <w:rFonts w:ascii="Verdana" w:eastAsia="Times New Roman" w:hAnsi="Verdana"/>
                            <w:color w:val="000000"/>
                            <w:sz w:val="15"/>
                            <w:szCs w:val="15"/>
                          </w:rPr>
                          <w:t>2. Disponibilidad oportuna de los recursos</w:t>
                        </w:r>
                      </w:p>
                    </w:tc>
                  </w:tr>
                  <w:tr w:rsidR="00000000">
                    <w:trPr>
                      <w:tblCellSpacing w:w="7" w:type="dxa"/>
                      <w:jc w:val="center"/>
                    </w:trPr>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b/>
                            <w:bCs/>
                            <w:color w:val="000000"/>
                            <w:sz w:val="15"/>
                            <w:szCs w:val="15"/>
                          </w:rPr>
                        </w:pPr>
                      </w:p>
                    </w:tc>
                    <w:tc>
                      <w:tcPr>
                        <w:tcW w:w="0" w:type="auto"/>
                        <w:vMerge/>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Porcentaje de cumplimiento trimestral del POA</w:t>
                        </w:r>
                      </w:p>
                    </w:tc>
                    <w:tc>
                      <w:tcPr>
                        <w:tcW w:w="2400" w:type="dxa"/>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PORCENTUAL</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color w:val="000000"/>
                            <w:sz w:val="15"/>
                            <w:szCs w:val="15"/>
                          </w:rPr>
                          <w:t>0</w:t>
                        </w:r>
                        <w:r>
                          <w:rPr>
                            <w:rFonts w:ascii="Verdana" w:eastAsia="Times New Roman" w:hAnsi="Verdana"/>
                            <w:color w:val="000000"/>
                            <w:sz w:val="15"/>
                            <w:szCs w:val="15"/>
                          </w:rPr>
                          <w:br/>
                        </w:r>
                        <w:r>
                          <w:rPr>
                            <w:rFonts w:ascii="Verdana" w:eastAsia="Times New Roman" w:hAnsi="Verdana"/>
                            <w:color w:val="000000"/>
                            <w:sz w:val="15"/>
                            <w:szCs w:val="15"/>
                          </w:rPr>
                          <w:br/>
                        </w:r>
                        <w:r>
                          <w:rPr>
                            <w:rFonts w:ascii="Verdana" w:eastAsia="Times New Roman" w:hAnsi="Verdana"/>
                            <w:color w:val="000000"/>
                            <w:sz w:val="15"/>
                            <w:szCs w:val="15"/>
                          </w:rPr>
                          <w:br/>
                          <w:t>Año:</w:t>
                        </w:r>
                        <w:r>
                          <w:rPr>
                            <w:rFonts w:ascii="Verdana" w:eastAsia="Times New Roman" w:hAnsi="Verdana"/>
                            <w:color w:val="000000"/>
                            <w:sz w:val="15"/>
                            <w:szCs w:val="15"/>
                          </w:rPr>
                          <w:br/>
                          <w:t>2010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center"/>
                          <w:rPr>
                            <w:rFonts w:ascii="Verdana" w:eastAsia="Times New Roman" w:hAnsi="Verdana"/>
                            <w:color w:val="000000"/>
                            <w:sz w:val="15"/>
                            <w:szCs w:val="15"/>
                          </w:rPr>
                        </w:pPr>
                        <w:r>
                          <w:rPr>
                            <w:rFonts w:ascii="Verdana" w:eastAsia="Times New Roman" w:hAnsi="Verdana"/>
                            <w:color w:val="000000"/>
                            <w:sz w:val="15"/>
                            <w:szCs w:val="15"/>
                          </w:rPr>
                          <w:t> </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90%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80%</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85%</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85%</w:t>
                        </w:r>
                      </w:p>
                    </w:tc>
                    <w:tc>
                      <w:tcPr>
                        <w:tcW w:w="0" w:type="auto"/>
                        <w:tcBorders>
                          <w:top w:val="outset" w:sz="6" w:space="0" w:color="CCCCCC"/>
                          <w:left w:val="outset" w:sz="6" w:space="0" w:color="CCCCCC"/>
                          <w:bottom w:val="outset" w:sz="6" w:space="0" w:color="000000"/>
                          <w:right w:val="outset" w:sz="6" w:space="0" w:color="000000"/>
                        </w:tcBorders>
                        <w:shd w:val="clear" w:color="auto" w:fill="D4D4D4"/>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90%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85%</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jc w:val="right"/>
                          <w:rPr>
                            <w:rFonts w:ascii="Verdana" w:eastAsia="Times New Roman" w:hAnsi="Verdana"/>
                            <w:color w:val="000000"/>
                            <w:sz w:val="15"/>
                            <w:szCs w:val="15"/>
                          </w:rPr>
                        </w:pPr>
                        <w:r>
                          <w:rPr>
                            <w:rFonts w:ascii="Verdana" w:eastAsia="Times New Roman" w:hAnsi="Verdana"/>
                            <w:b/>
                            <w:bCs/>
                            <w:color w:val="000000"/>
                            <w:sz w:val="15"/>
                            <w:szCs w:val="15"/>
                          </w:rPr>
                          <w:t>90%</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Informes de monitoreo mensual ampliado, elaborados en Plataforma Informática MyE</w:t>
                        </w:r>
                      </w:p>
                    </w:tc>
                    <w:tc>
                      <w:tcPr>
                        <w:tcW w:w="0" w:type="auto"/>
                        <w:tcBorders>
                          <w:top w:val="outset" w:sz="6" w:space="0" w:color="CCCCCC"/>
                          <w:left w:val="outset" w:sz="6" w:space="0" w:color="CCCCCC"/>
                          <w:bottom w:val="outset" w:sz="6" w:space="0" w:color="000000"/>
                          <w:right w:val="outset" w:sz="6" w:space="0" w:color="000000"/>
                        </w:tcBorders>
                        <w:vAlign w:val="center"/>
                        <w:hideMark/>
                      </w:tcPr>
                      <w:p w:rsidR="00000000" w:rsidRDefault="00B71B79">
                        <w:pPr>
                          <w:rPr>
                            <w:rFonts w:ascii="Verdana" w:eastAsia="Times New Roman" w:hAnsi="Verdana"/>
                            <w:color w:val="000000"/>
                            <w:sz w:val="15"/>
                            <w:szCs w:val="15"/>
                          </w:rPr>
                        </w:pPr>
                        <w:r>
                          <w:rPr>
                            <w:rFonts w:ascii="Verdana" w:eastAsia="Times New Roman" w:hAnsi="Verdana"/>
                            <w:color w:val="000000"/>
                            <w:sz w:val="15"/>
                            <w:szCs w:val="15"/>
                          </w:rPr>
                          <w:t>1. Ejecutores y contrapartes nacionales cumplen con los compromisos adquiridos en el POA</w:t>
                        </w:r>
                      </w:p>
                    </w:tc>
                  </w:tr>
                </w:tbl>
                <w:p w:rsidR="00000000" w:rsidRDefault="00B71B79">
                  <w:pPr>
                    <w:spacing w:after="240"/>
                    <w:jc w:val="center"/>
                    <w:rPr>
                      <w:rFonts w:eastAsia="Times New Roman"/>
                    </w:rPr>
                  </w:pPr>
                </w:p>
              </w:tc>
            </w:tr>
          </w:tbl>
          <w:p w:rsidR="00000000" w:rsidRDefault="00B71B79">
            <w:pPr>
              <w:rPr>
                <w:rFonts w:eastAsia="Times New Roman"/>
              </w:rPr>
            </w:pPr>
          </w:p>
        </w:tc>
      </w:tr>
    </w:tbl>
    <w:p w:rsidR="00000000" w:rsidRDefault="00B71B79">
      <w:pPr>
        <w:rPr>
          <w:rFonts w:eastAsia="Times New Roman"/>
        </w:rPr>
      </w:pPr>
    </w:p>
    <w:sectPr w:rsidR="00000000" w:rsidSect="00B71B79">
      <w:pgSz w:w="15840" w:h="12240"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grammar="clean"/>
  <w:defaultTabStop w:val="708"/>
  <w:hyphenationZone w:val="425"/>
  <w:drawingGridHorizontalSpacing w:val="120"/>
  <w:displayHorizontalDrawingGridEvery w:val="2"/>
  <w:noPunctuationKerning/>
  <w:characterSpacingControl w:val="doNotCompress"/>
  <w:compat/>
  <w:rsids>
    <w:rsidRoot w:val="00B71B79"/>
    <w:rsid w:val="00B71B79"/>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Ttulo1">
    <w:name w:val="heading 1"/>
    <w:basedOn w:val="Normal"/>
    <w:link w:val="Ttulo1Car"/>
    <w:uiPriority w:val="9"/>
    <w:qFormat/>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rFonts w:ascii="Verdana" w:hAnsi="Verdana" w:hint="default"/>
      <w:b w:val="0"/>
      <w:bCs w:val="0"/>
      <w:strike w:val="0"/>
      <w:dstrike w:val="0"/>
      <w:color w:val="000000"/>
      <w:sz w:val="14"/>
      <w:szCs w:val="14"/>
      <w:u w:val="none"/>
      <w:effect w:val="none"/>
    </w:rPr>
  </w:style>
  <w:style w:type="character" w:styleId="Hipervnculovisitado">
    <w:name w:val="FollowedHyperlink"/>
    <w:basedOn w:val="Fuentedeprrafopredeter"/>
    <w:uiPriority w:val="99"/>
    <w:semiHidden/>
    <w:unhideWhenUsed/>
    <w:rPr>
      <w:rFonts w:ascii="Verdana" w:hAnsi="Verdana" w:hint="default"/>
      <w:b w:val="0"/>
      <w:bCs w:val="0"/>
      <w:strike w:val="0"/>
      <w:dstrike w:val="0"/>
      <w:color w:val="000000"/>
      <w:sz w:val="14"/>
      <w:szCs w:val="14"/>
      <w:u w:val="none"/>
      <w:effect w:val="none"/>
    </w:rPr>
  </w:style>
  <w:style w:type="character" w:customStyle="1" w:styleId="Ttulo1Car">
    <w:name w:val="Título 1 Car"/>
    <w:basedOn w:val="Fuentedeprrafopredeter"/>
    <w:link w:val="Ttulo1"/>
    <w:uiPriority w:val="9"/>
    <w:rPr>
      <w:rFonts w:asciiTheme="majorHAnsi" w:eastAsiaTheme="majorEastAsia" w:hAnsiTheme="majorHAnsi" w:cstheme="majorBidi"/>
      <w:b/>
      <w:bCs/>
      <w:color w:val="365F91" w:themeColor="accent1" w:themeShade="BF"/>
      <w:sz w:val="28"/>
      <w:szCs w:val="28"/>
    </w:rPr>
  </w:style>
  <w:style w:type="paragraph" w:customStyle="1" w:styleId="tdtitulovertical">
    <w:name w:val="tdtitulovertical"/>
    <w:basedOn w:val="Normal"/>
    <w:pPr>
      <w:shd w:val="clear" w:color="auto" w:fill="CCCCCC"/>
      <w:spacing w:before="100" w:beforeAutospacing="1" w:after="100" w:afterAutospacing="1"/>
      <w:jc w:val="center"/>
    </w:pPr>
    <w:rPr>
      <w:rFonts w:ascii="Verdana" w:hAnsi="Verdana"/>
      <w:b/>
      <w:bCs/>
      <w:color w:val="000000"/>
      <w:sz w:val="15"/>
      <w:szCs w:val="15"/>
    </w:rPr>
  </w:style>
  <w:style w:type="paragraph" w:customStyle="1" w:styleId="tdcontenido">
    <w:name w:val="tdcontenido"/>
    <w:basedOn w:val="Normal"/>
    <w:pPr>
      <w:spacing w:before="100" w:beforeAutospacing="1" w:after="100" w:afterAutospacing="1"/>
    </w:pPr>
    <w:rPr>
      <w:rFonts w:ascii="Verdana" w:hAnsi="Verdana"/>
      <w:color w:val="000000"/>
      <w:sz w:val="15"/>
      <w:szCs w:val="15"/>
    </w:rPr>
  </w:style>
  <w:style w:type="paragraph" w:customStyle="1" w:styleId="divcontroles">
    <w:name w:val="divcontroles"/>
    <w:basedOn w:val="Normal"/>
    <w:pPr>
      <w:shd w:val="clear" w:color="auto" w:fill="6699FF"/>
      <w:spacing w:before="100" w:beforeAutospacing="1" w:after="100" w:afterAutospacing="1"/>
    </w:pPr>
    <w:rPr>
      <w:rFonts w:ascii="Verdana" w:hAnsi="Verdana"/>
      <w:b/>
      <w:bCs/>
      <w:color w:val="000000"/>
      <w:sz w:val="15"/>
      <w:szCs w:val="15"/>
    </w:rPr>
  </w:style>
  <w:style w:type="paragraph" w:customStyle="1" w:styleId="divcentropagina">
    <w:name w:val="divcentropagina"/>
    <w:basedOn w:val="Normal"/>
    <w:pPr>
      <w:spacing w:before="100" w:beforeAutospacing="1" w:after="100" w:afterAutospacing="1"/>
    </w:pPr>
  </w:style>
  <w:style w:type="paragraph" w:customStyle="1" w:styleId="inputbox">
    <w:name w:val="inputbox"/>
    <w:basedOn w:val="Normal"/>
    <w:pPr>
      <w:spacing w:before="100" w:beforeAutospacing="1" w:after="100" w:afterAutospacing="1"/>
    </w:pPr>
    <w:rPr>
      <w:rFonts w:ascii="Verdana" w:hAnsi="Verdana"/>
      <w:sz w:val="14"/>
      <w:szCs w:val="14"/>
    </w:rPr>
  </w:style>
  <w:style w:type="paragraph" w:customStyle="1" w:styleId="tdcronograma">
    <w:name w:val="tdcronograma"/>
    <w:basedOn w:val="Normal"/>
    <w:pPr>
      <w:shd w:val="clear" w:color="auto" w:fill="000099"/>
      <w:spacing w:before="100" w:beforeAutospacing="1" w:after="100" w:afterAutospacing="1"/>
    </w:pPr>
    <w:rPr>
      <w:rFonts w:ascii="Verdana" w:hAnsi="Verdana"/>
      <w:sz w:val="17"/>
      <w:szCs w:val="17"/>
    </w:rPr>
  </w:style>
  <w:style w:type="paragraph" w:customStyle="1" w:styleId="tdcontenido1">
    <w:name w:val="tdcontenido1"/>
    <w:basedOn w:val="Normal"/>
    <w:pPr>
      <w:shd w:val="clear" w:color="auto" w:fill="D4D4D4"/>
      <w:spacing w:before="100" w:beforeAutospacing="1" w:after="100" w:afterAutospacing="1"/>
    </w:pPr>
    <w:rPr>
      <w:rFonts w:ascii="Verdana" w:hAnsi="Verdana"/>
      <w:color w:val="000000"/>
      <w:sz w:val="15"/>
      <w:szCs w:val="15"/>
    </w:rPr>
  </w:style>
  <w:style w:type="paragraph" w:customStyle="1" w:styleId="tablaborde">
    <w:name w:val="tablaborde"/>
    <w:basedOn w:val="Normal"/>
    <w:pPr>
      <w:pBdr>
        <w:top w:val="single" w:sz="2" w:space="0" w:color="000000"/>
        <w:left w:val="single" w:sz="2" w:space="0" w:color="000000"/>
        <w:bottom w:val="single" w:sz="2" w:space="0" w:color="000000"/>
        <w:right w:val="single" w:sz="2" w:space="0" w:color="000000"/>
      </w:pBd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2232</Words>
  <Characters>12163</Characters>
  <Application>Microsoft Office Word</Application>
  <DocSecurity>4</DocSecurity>
  <Lines>101</Lines>
  <Paragraphs>28</Paragraphs>
  <ScaleCrop>false</ScaleCrop>
  <Company>Gerens</Company>
  <LinksUpToDate>false</LinksUpToDate>
  <CharactersWithSpaces>14367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Plataforma de Monitoreo y Evaluación de Proyectos</dc:title>
  <dc:creator>Antonio Tejeda Altamirano</dc:creator>
  <cp:lastModifiedBy>Antonio Tejeda Altamirano</cp:lastModifiedBy>
  <cp:revision>2</cp:revision>
  <dcterms:created xsi:type="dcterms:W3CDTF">2012-09-03T21:10:00Z</dcterms:created>
  <dcterms:modified xsi:type="dcterms:W3CDTF">2012-09-03T21:10:00Z</dcterms:modified>
</cp:coreProperties>
</file>